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C32E67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3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AC6E6D" w:rsidRDefault="00AC6E6D" w:rsidP="00AC6E6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C6E6D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074FF8" w:rsidRPr="00542DB4" w:rsidRDefault="00AC6E6D" w:rsidP="00AC6E6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C6E6D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</w:tc>
      </w:tr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F4ED0A" wp14:editId="423642D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B3509" w:rsidRDefault="00DB3509" w:rsidP="003B6FB4">
      <w:pPr>
        <w:pStyle w:val="NoSpacing"/>
        <w:spacing w:after="0"/>
        <w:rPr>
          <w:smallCaps/>
          <w:szCs w:val="20"/>
          <w:lang w:val="en-US"/>
        </w:rPr>
      </w:pPr>
    </w:p>
    <w:p w:rsidR="00074FF8" w:rsidRDefault="00074FF8" w:rsidP="003B6FB4">
      <w:pPr>
        <w:pStyle w:val="NoSpacing"/>
        <w:spacing w:after="0"/>
        <w:rPr>
          <w:smallCaps/>
          <w:szCs w:val="20"/>
          <w:lang w:val="en-US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>ИНФОРМАЦИЯ ОТ О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ПУ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E1A1D" w:rsidRDefault="009E1A1D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ОПУ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470A71" w:rsidRPr="00542DB4" w:rsidRDefault="00470A71" w:rsidP="00470A71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470A71" w:rsidRPr="00470A71" w:rsidRDefault="00470A71" w:rsidP="00470A7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D75EB2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1</w:t>
      </w:r>
    </w:p>
    <w:p w:rsidR="00470A71" w:rsidRPr="00074FF8" w:rsidRDefault="00470A71" w:rsidP="00470A7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470A71">
        <w:rPr>
          <w:rFonts w:ascii="Verdana" w:hAnsi="Verdana"/>
          <w:b/>
          <w:color w:val="FFFFFF" w:themeColor="background1"/>
          <w:sz w:val="24"/>
          <w:lang w:val="bg-BG"/>
        </w:rPr>
        <w:t>СЪСТОЯНИЕ НА ПЪТНОТРАНСПОРТНАТА ИНФРАСТРУКТУРА</w:t>
      </w: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470A71" w:rsidP="009E1A1D">
      <w:pPr>
        <w:shd w:val="clear" w:color="auto" w:fill="FFFFFF" w:themeFill="background1"/>
        <w:ind w:right="-35"/>
        <w:jc w:val="bot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470A71">
        <w:rPr>
          <w:rFonts w:ascii="Verdana" w:hAnsi="Verdana"/>
          <w:color w:val="404040" w:themeColor="text1" w:themeTint="BF"/>
          <w:sz w:val="20"/>
          <w:szCs w:val="20"/>
          <w:lang w:val="bg-BG"/>
        </w:rPr>
        <w:t>Дължина и състояние на републиканските пътища в границите на областта по основните им елементи:</w:t>
      </w:r>
    </w:p>
    <w:p w:rsidR="00470A71" w:rsidRPr="00470A71" w:rsidRDefault="00470A71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470A71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(информацията ще послужи за включването й в общия годишен доклад – образец 3.0</w:t>
      </w:r>
      <w:r w:rsidR="004079F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раздел 3, т. 2.1</w:t>
      </w:r>
      <w:bookmarkStart w:id="0" w:name="_GoBack"/>
      <w:bookmarkEnd w:id="0"/>
      <w:r w:rsidRPr="00470A71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).</w:t>
      </w:r>
    </w:p>
    <w:p w:rsidR="00074FF8" w:rsidRDefault="00470A71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color w:val="404040" w:themeColor="text1" w:themeTint="BF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75EB2" w:rsidRPr="00470A71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D75EB2" w:rsidRPr="00D75EB2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470A71">
        <w:rPr>
          <w:rFonts w:ascii="Verdana" w:hAnsi="Verdana"/>
          <w:b/>
          <w:color w:val="FFFFFF" w:themeColor="background1"/>
          <w:sz w:val="32"/>
        </w:rPr>
        <w:t>2</w:t>
      </w:r>
    </w:p>
    <w:p w:rsidR="00074FF8" w:rsidRPr="00074FF8" w:rsidRDefault="00D75EB2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074FF8" w:rsidRPr="00074FF8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ОПУ НА ОБЛАСТНАТА ПЛАН-ПРОГРАМА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470A71" w:rsidRDefault="00470A71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9E1A1D" w:rsidRPr="009A0221" w:rsidTr="00074F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9E1A1D" w:rsidRPr="00074FF8" w:rsidRDefault="009E1A1D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074FF8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Наблюдение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Секретариат на ОКБДП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C4EE2" w:rsidRPr="000E0A7D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Приоритетно предвиждане и бюджетиране от членовете на ОКБДП на мерки по БДП </w:t>
            </w:r>
          </w:p>
          <w:p w:rsidR="002C4EE2" w:rsidRPr="006D1AF5" w:rsidRDefault="002C4EE2" w:rsidP="002C4EE2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C4EE2" w:rsidRPr="000E0A7D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 w:rsidRPr="006D1AF5">
              <w:t xml:space="preserve"> </w:t>
            </w:r>
            <w:r w:rsidRPr="00B905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компетентните органи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C4EE2" w:rsidRPr="000E0A7D" w:rsidRDefault="002C4EE2" w:rsidP="002C4EE2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C4EE2" w:rsidRPr="000E0A7D" w:rsidRDefault="002C4EE2" w:rsidP="002C4EE2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2.12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2C4EE2" w:rsidRPr="006D1AF5" w:rsidRDefault="002C4EE2" w:rsidP="002C4EE2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 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4.4. Предоставяне на данни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4.5 Докладване и анализ на информация, свързана с пътната безопасност, на заседанията на ОКБДП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C4EE2" w:rsidRPr="006D1AF5" w:rsidRDefault="002C4EE2" w:rsidP="002C4EE2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4.11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4.12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4.13 Бюджетиране на приоритетни мерки за развитие на пътната инфраструктура в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4.14 Извършване на цялостна оценка на пътната мрежа на територията на областта съгласно  Директива (ЕС) 2019/1936 на Европейския парламент и на Съвета от 23 октомври 2019 година за изменение на Директива 2008/96/ЕО относно управлението на безопасността на пътните инфраструктури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55650A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Извършване на огледи на състоянието на пътната инфраструктура, съвместно преди настъпване на летния сезон, началото на учебната година, преди началото и след края 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55650A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2C4EE2" w:rsidRPr="0055650A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2C4EE2" w:rsidRPr="0055650A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/моля попълнете </w:t>
            </w:r>
            <w:r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по</w:t>
            </w: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 обекти съгласно предвижданията на областната план-програма/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55650A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2C4EE2" w:rsidRPr="0055650A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Извършване на периодичен преглед на съществуващите ограничителни системи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4.22 Почистване на растителността и поддържане на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4.23 Обезопасяване на крайпътното пространство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2C4EE2" w:rsidRPr="006D1AF5" w:rsidRDefault="002C4EE2" w:rsidP="002C4EE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2C4EE2" w:rsidRPr="006D1AF5" w:rsidRDefault="002C4EE2" w:rsidP="002C4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2C4EE2" w:rsidRDefault="002C4EE2" w:rsidP="002C4EE2"/>
        </w:tc>
      </w:tr>
      <w:tr w:rsidR="002C4EE2" w:rsidRPr="006D1AF5" w:rsidTr="00074FF8">
        <w:tc>
          <w:tcPr>
            <w:tcW w:w="5245" w:type="dxa"/>
            <w:shd w:val="clear" w:color="auto" w:fill="FFFFFF" w:themeFill="background1"/>
          </w:tcPr>
          <w:p w:rsidR="002C4EE2" w:rsidRPr="006D1AF5" w:rsidRDefault="002C4EE2" w:rsidP="002C4EE2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2C4EE2" w:rsidRPr="006D1AF5" w:rsidRDefault="002C4EE2" w:rsidP="002C4EE2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C4EE2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C4EE2" w:rsidRPr="006D1AF5" w:rsidRDefault="002C4EE2" w:rsidP="002C4EE2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8483A" w:rsidRDefault="0048483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75EB2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lastRenderedPageBreak/>
        <w:t xml:space="preserve"> </w:t>
      </w:r>
      <w:r w:rsidR="00D75EB2" w:rsidRPr="00D75EB2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D75EB2"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074FF8" w:rsidRPr="00074FF8" w:rsidRDefault="00D75EB2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074FF8" w:rsidRPr="00074FF8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74FF8" w:rsidRDefault="00074FF8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8483A" w:rsidRPr="00074FF8" w:rsidRDefault="0048483A" w:rsidP="0048483A">
      <w:pPr>
        <w:rPr>
          <w:rFonts w:ascii="Verdana" w:hAnsi="Verdana"/>
          <w:sz w:val="20"/>
          <w:lang w:val="bg-BG"/>
        </w:rPr>
      </w:pPr>
      <w:r w:rsidRPr="00074FF8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83A" w:rsidRDefault="0048483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48483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11" w:rsidRDefault="001D2A11" w:rsidP="00EF6C12">
      <w:pPr>
        <w:spacing w:after="0" w:line="240" w:lineRule="auto"/>
      </w:pPr>
      <w:r>
        <w:separator/>
      </w:r>
    </w:p>
  </w:endnote>
  <w:endnote w:type="continuationSeparator" w:id="0">
    <w:p w:rsidR="001D2A11" w:rsidRDefault="001D2A11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11" w:rsidRDefault="001D2A11" w:rsidP="00EF6C12">
      <w:pPr>
        <w:spacing w:after="0" w:line="240" w:lineRule="auto"/>
      </w:pPr>
      <w:r>
        <w:separator/>
      </w:r>
    </w:p>
  </w:footnote>
  <w:footnote w:type="continuationSeparator" w:id="0">
    <w:p w:rsidR="001D2A11" w:rsidRDefault="001D2A11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4FF8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23748"/>
    <w:rsid w:val="0016493E"/>
    <w:rsid w:val="00196093"/>
    <w:rsid w:val="001D2A11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EE2"/>
    <w:rsid w:val="002C4F03"/>
    <w:rsid w:val="002C5093"/>
    <w:rsid w:val="002D2DE2"/>
    <w:rsid w:val="002E1E00"/>
    <w:rsid w:val="002E4B65"/>
    <w:rsid w:val="00321694"/>
    <w:rsid w:val="00322E54"/>
    <w:rsid w:val="00333186"/>
    <w:rsid w:val="00334292"/>
    <w:rsid w:val="00362E72"/>
    <w:rsid w:val="003A062E"/>
    <w:rsid w:val="003B6FB4"/>
    <w:rsid w:val="003D2CC0"/>
    <w:rsid w:val="003D3593"/>
    <w:rsid w:val="003E256C"/>
    <w:rsid w:val="003E2A04"/>
    <w:rsid w:val="003E5E42"/>
    <w:rsid w:val="004079FE"/>
    <w:rsid w:val="00407C2B"/>
    <w:rsid w:val="00416486"/>
    <w:rsid w:val="004277C8"/>
    <w:rsid w:val="00470A71"/>
    <w:rsid w:val="0048483A"/>
    <w:rsid w:val="0049768E"/>
    <w:rsid w:val="004D595B"/>
    <w:rsid w:val="004E0A0D"/>
    <w:rsid w:val="004F3D08"/>
    <w:rsid w:val="005177B4"/>
    <w:rsid w:val="00525B31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36CFD"/>
    <w:rsid w:val="006433D9"/>
    <w:rsid w:val="006447AB"/>
    <w:rsid w:val="00654AF6"/>
    <w:rsid w:val="00682BDC"/>
    <w:rsid w:val="00694949"/>
    <w:rsid w:val="006F54E0"/>
    <w:rsid w:val="007146B0"/>
    <w:rsid w:val="00783454"/>
    <w:rsid w:val="00795DC1"/>
    <w:rsid w:val="007C50F0"/>
    <w:rsid w:val="007C6355"/>
    <w:rsid w:val="007E104F"/>
    <w:rsid w:val="00821484"/>
    <w:rsid w:val="00846298"/>
    <w:rsid w:val="00855E14"/>
    <w:rsid w:val="00895A66"/>
    <w:rsid w:val="008A6CEA"/>
    <w:rsid w:val="008F2D75"/>
    <w:rsid w:val="0090061D"/>
    <w:rsid w:val="0091071C"/>
    <w:rsid w:val="009155DC"/>
    <w:rsid w:val="00917CE0"/>
    <w:rsid w:val="00937F0E"/>
    <w:rsid w:val="009D601F"/>
    <w:rsid w:val="009E11A9"/>
    <w:rsid w:val="009E1A1D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C37D3"/>
    <w:rsid w:val="00AC6E6D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A5235"/>
    <w:rsid w:val="00BE0D44"/>
    <w:rsid w:val="00C2097E"/>
    <w:rsid w:val="00C21127"/>
    <w:rsid w:val="00C27950"/>
    <w:rsid w:val="00C32E67"/>
    <w:rsid w:val="00C53324"/>
    <w:rsid w:val="00C758AB"/>
    <w:rsid w:val="00C86427"/>
    <w:rsid w:val="00C91450"/>
    <w:rsid w:val="00CA3121"/>
    <w:rsid w:val="00CF08F8"/>
    <w:rsid w:val="00CF4EE0"/>
    <w:rsid w:val="00D05CD2"/>
    <w:rsid w:val="00D24C56"/>
    <w:rsid w:val="00D75EB2"/>
    <w:rsid w:val="00DA449E"/>
    <w:rsid w:val="00DB3509"/>
    <w:rsid w:val="00DC3B15"/>
    <w:rsid w:val="00DC7C63"/>
    <w:rsid w:val="00DF643C"/>
    <w:rsid w:val="00E12478"/>
    <w:rsid w:val="00E136A6"/>
    <w:rsid w:val="00E16F4B"/>
    <w:rsid w:val="00E214A1"/>
    <w:rsid w:val="00E44F01"/>
    <w:rsid w:val="00EA3C9D"/>
    <w:rsid w:val="00EC5F1C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1610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7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7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D55B-BA6D-48E6-AE21-CB04D66D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135</cp:revision>
  <dcterms:created xsi:type="dcterms:W3CDTF">2020-01-17T10:02:00Z</dcterms:created>
  <dcterms:modified xsi:type="dcterms:W3CDTF">2021-07-01T09:18:00Z</dcterms:modified>
</cp:coreProperties>
</file>